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Лечебное дело (ПП)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Лечебное дело (ПП) | Записей: 1 | Кейс: 2 | Вопросов: 12</w:t>
      </w:r>
    </w:p>
    <w:p>
      <w:r>
        <w:br w:type="page"/>
      </w:r>
    </w:p>
    <w:p>
      <w:pPr>
        <w:pStyle w:val="Heading1"/>
      </w:pPr>
      <w:r>
        <w:t>Лечебное дело (ПП)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Лечебное дело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К. 54 лет на осмотре у врача-гастроэнтеролога.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- на постоянные ноющие боли в эпигастральной области, усиливающиеся через 30-40 мин после приема жирной и острой пищи, с иррадиацией в спину, левую половину грудной клетки, часто принимающих характер опоясывающих;</w:t>
      </w:r>
    </w:p>
    <w:p>
      <w:pPr>
        <w:spacing w:after="58"/>
      </w:pPr>
      <w:r>
        <w:rPr>
          <w:b w:val="0"/>
          <w:i w:val="0"/>
        </w:rPr>
        <w:t>- частый стул до 3-5 раз в день, обильный, «блестящий», зловонный, трудно смывается с унитаза;</w:t>
      </w:r>
    </w:p>
    <w:p>
      <w:pPr>
        <w:spacing w:after="58"/>
      </w:pPr>
      <w:r>
        <w:rPr>
          <w:b w:val="0"/>
          <w:i w:val="0"/>
        </w:rPr>
        <w:t>- похудание за 1,5 месяца на 7 кг;</w:t>
      </w:r>
    </w:p>
    <w:p>
      <w:pPr>
        <w:spacing w:after="58"/>
      </w:pPr>
      <w:r>
        <w:rPr>
          <w:b w:val="0"/>
          <w:i w:val="0"/>
        </w:rPr>
        <w:t>- ощущение сухости во рту;</w:t>
      </w:r>
    </w:p>
    <w:p>
      <w:pPr>
        <w:spacing w:after="58"/>
      </w:pPr>
      <w:r>
        <w:rPr>
          <w:b w:val="0"/>
          <w:i w:val="0"/>
        </w:rPr>
        <w:t>- повышенную жажду;</w:t>
      </w:r>
    </w:p>
    <w:p>
      <w:pPr>
        <w:spacing w:after="58"/>
      </w:pPr>
      <w:r>
        <w:rPr>
          <w:b w:val="0"/>
          <w:i w:val="0"/>
        </w:rPr>
        <w:t>- кожный зуд.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 больной 10 лет назад, после приема большого количества жирной пищи, развился приступ болей в области правого подреберья, сопровождавшийся рвотой с примесью желчи, повышением температуры до субфебрильных цифр. В районной больнице, куда срочно была госпитализирована больная, диагностировали острый калькулезный холецистит и экстренно произведена холецистэктомия. Через 1 неделю после выписки у больной появились периодические ноющие боли в области левого подреберья, возникавшие после приема жирной и острой пищи. К врачам больная не обращалась, обследование не проводилось. По совету друзей принимала но-шпу и фестал с умеренным эффектом. Ухудшение состояния примерно 6 месяцев назад, когда боли в эпигастральной области стали постоянными, усиливаясь после приема пищи, появился частый, зловонный, трудно смываемый с унитаза стул. Похудела на 7 кг. В течение последнего месяца отмечает появление сухости во рту, повышенной жажды, кожного зуда. По поводу кожного зуда была осмотрена дерматологом, кожных заболеваний выявлено не было.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- росла и развивалась нормально;</w:t>
      </w:r>
    </w:p>
    <w:p>
      <w:pPr>
        <w:spacing w:after="58"/>
      </w:pPr>
      <w:r>
        <w:rPr>
          <w:b w:val="0"/>
          <w:i w:val="0"/>
        </w:rPr>
        <w:t>- замужем, имеет двоих здоровых детей;</w:t>
      </w:r>
    </w:p>
    <w:p>
      <w:pPr>
        <w:spacing w:after="58"/>
      </w:pPr>
      <w:r>
        <w:rPr>
          <w:b w:val="0"/>
          <w:i w:val="0"/>
        </w:rPr>
        <w:t>- работает продавцом в продуктовом магазине. Питается не регулярно, диету не соблюдает;</w:t>
      </w:r>
    </w:p>
    <w:p>
      <w:pPr>
        <w:spacing w:after="58"/>
      </w:pPr>
      <w:r>
        <w:rPr>
          <w:b w:val="0"/>
          <w:i w:val="0"/>
        </w:rPr>
        <w:t>- курит по 20 сигарет в день в течение 30 лет, злоупотребление алкоголем отрицает;</w:t>
      </w:r>
    </w:p>
    <w:p>
      <w:pPr>
        <w:spacing w:after="58"/>
      </w:pPr>
      <w:r>
        <w:rPr>
          <w:b w:val="0"/>
          <w:i w:val="0"/>
        </w:rPr>
        <w:t>- в анамнезе – детские инфекции, ОРВИ, желчнокаменная болезнь;</w:t>
      </w:r>
    </w:p>
    <w:p>
      <w:pPr>
        <w:spacing w:after="58"/>
      </w:pPr>
      <w:r>
        <w:rPr>
          <w:b w:val="0"/>
          <w:i w:val="0"/>
        </w:rPr>
        <w:t>- не переносимости лекарственных препаратов и пищевых продуктов не отмечено;</w:t>
      </w:r>
    </w:p>
    <w:p>
      <w:pPr>
        <w:spacing w:after="58"/>
      </w:pPr>
      <w:r>
        <w:rPr>
          <w:b w:val="0"/>
          <w:i w:val="0"/>
        </w:rPr>
        <w:t>- наследственность: у матери гипертоническая болезнь, отец умер от инсульта.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Сознание ясное. Положение больной активное. Телосложение нормостеническое. Рост 169 см. Масса тела 75 кг. Индекс массы тела 26,22 кг/м2. Кожные покровы чистые, обычной окраски. Подкожная клетчатка развита хорошо. Отеков нет. Лимфатические узлы не пальпируются. Общее развитие мышечной системы умеренное. Костная система без видимых изменений. Суставы не изменены, движения в полном объеме. Тип дыхания грудной. Ритм дыхания правильный. ЧДД 20 в 1 мин. При сравнительной перкуссии над всей поверхностью легких звук ясный. Дыхание в легких везикулярное, хрипов нет. Область сердца не изменена. Границы относительной тупости сердца в пределах нормы. При аускультации тоны сердца нормальной звучности, шумы не выслушиваются. Пульс 76 уд. 1 мин., ритмичный. АД 110/65 мм.рт.ст.</w:t>
      </w:r>
    </w:p>
    <w:p>
      <w:pPr>
        <w:spacing w:after="58"/>
      </w:pPr>
      <w:r>
        <w:rPr>
          <w:b w:val="0"/>
          <w:i w:val="0"/>
        </w:rPr>
        <w:t>Живот обычной формы, симметричный, при пальпации мягкий, болезненный в эпигастральной области, больше слева. Симптом Щеткина-Блюмберга отрицательный. При глубокой пальпации определяются сигмовидная и слепая кишка, безболезненные, урчащие при надавливании. Печень и селезенка не увеличены. Поджелудочная железа не пальпируется. Выявляется положительный симптом Керте. Френикус-симптом положителен слева. Почки не пальпируются. Симптом поколачивания отрицателен с обеих сторон. Щитовидная железа не увеличена.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 больной наиболее вероятным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 раздраженной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Хронический билиарнозависимый панкреатит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Глютеновая энтеропатия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Хронический гепатит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билиарнозависимый панкреатит</w:t>
      </w:r>
    </w:p>
    <w:p>
      <w:pPr>
        <w:ind w:left="504"/>
      </w:pPr>
      <w:r>
        <w:rPr>
          <w:b w:val="0"/>
          <w:i/>
        </w:rPr>
        <w:t>На возможное наличие у больной хронического панкреатита указывает локализация боли и ее характерная иррадиация. Частый неоформленный стул, содержащий большое количество нейтрального жира (стул «блестящий», с неприятным запахом, плохо смывается с унитаза), обусловлен внешнесекреторной недостаточностью поджелудочной железы. В анамнезе желчнокаменная болезнь. Выявлены, встречающиеся при панкреатите, положительный симптом Керте (локальное мышечное напряжение в области проекции поджелудочной железы на переднюю брюшную стенку) и левосторонний френикус-симптом. Больная курит в течение 20 лет. Курение является независимым фактором риска развития хронического панкреатита.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(4)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Ведущим в клинической картине хронического панкреатита у больной является синдром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Вернера-Моррисона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внешнесекреторной панкреатической недостаточности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холестаза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избыточного бактериального роста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внешнесекреторной панкреатической недостаточности</w:t>
      </w:r>
    </w:p>
    <w:p>
      <w:pPr>
        <w:ind w:left="504"/>
      </w:pPr>
      <w:r>
        <w:rPr>
          <w:b w:val="0"/>
          <w:i/>
        </w:rPr>
        <w:t>Частый стул до 3-5 раз в день, кашицеобразный, «блестящий», зловонный, плохо смывается с унитаза, говорит о большом содержании нейтрального жира, в следствии недостаточной выработки панкреатической липазы. Больная за 1,5 месяца потеряла 7 кг массы тела.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течение последнего месяца заболевания у больной появились симптомы синдрома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недостаточности кишечного всасывания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избыточного бактериального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холестаза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эндокринной панкреатической недостаточности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эндокринной панкреатической недостаточности</w:t>
      </w:r>
    </w:p>
    <w:p>
      <w:pPr>
        <w:ind w:left="504"/>
      </w:pPr>
      <w:r>
        <w:rPr>
          <w:b w:val="0"/>
          <w:i/>
        </w:rPr>
        <w:t>В течение последнего месяца больная отмечает появление характерных для сахарного диабета жалоб: сухости во рту, повышенной жажды, кожного зуда.</w:t>
        <w:br/>
        <w:br/>
        <w:t>Согласно статистике, у 70% пациентов с хроническим панкреатитом со временем нарушается толерантность к глюкозе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Наиболее информативным методом визуализации для подтверждения диагноза хронического панкреатита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мультиспиральная компьютерная томография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ангиография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ЭРХПГ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мультиспиральная компьютерная томография</w:t>
      </w:r>
    </w:p>
    <w:p>
      <w:pPr>
        <w:ind w:left="504"/>
      </w:pPr>
      <w:r>
        <w:rPr>
          <w:b w:val="0"/>
          <w:i/>
        </w:rPr>
        <w:t>Мультиспиральная компьютерная томография в настоящее время является одним из лучших методов для первичной диагностики хронического панкреатита, превосходя диагностическую ценность трансабдоминального УЗИ. Чувствительность метода составляет 75-90%, специфичность 85-90%.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диагностики эндокринной недостаточности поджелудочной железы, у данной больной, целесообразно использовать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гликозилированного гемоглобина HbА1c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амилазы в сыворотке крови и моче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уровня сахара в сыворотке крови с нагрузкой глюкозой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гликогена в сыворотке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гликозилированного гемоглобина HbА1c</w:t>
      </w:r>
    </w:p>
    <w:p>
      <w:pPr>
        <w:ind w:left="504"/>
      </w:pPr>
      <w:r>
        <w:rPr>
          <w:b w:val="0"/>
          <w:i/>
        </w:rPr>
        <w:t>Диагностика эндокринной недостаточности должно осуществляться путем регулярного определения концентрации гликозилированного гемоглобина (HbА1c), уровня глюкозы крови натощак. Преимущество HbА1c заключается в более низкой вариабельности результатов относительно показателей глюкозы крови.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диагностики нарушения внешнесекреторной функции поджелудочной железы в клинических условиях показано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амилазы в моче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растительной клетчатки в кале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липазы в сыворотке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фекальной эластазы (ФЭ-1)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фекальной эластазы (ФЭ-1)</w:t>
      </w:r>
    </w:p>
    <w:p>
      <w:pPr>
        <w:ind w:left="504"/>
      </w:pPr>
      <w:r>
        <w:rPr>
          <w:b w:val="0"/>
          <w:i/>
        </w:rPr>
        <w:t>Фекальный эластазный тест — очень простой анализ для непрямой и неинвазивной оценки секреции поджелудочной железы. Этот анализ широко доступен и требует всего лишь небольшого образца кала для исследования. Общепризнанным является факт, что чем ниже концентрация ФЭ-1, тем выше вероятность внешнесекреторной недостаточности поджелудочной железы.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 тяжелой степени экзокринной недостаточности говорит содержание эластазы-1 в кале равной +_______________+ мкг/г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101-200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201-300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0-100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301-400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0-100</w:t>
      </w:r>
    </w:p>
    <w:p>
      <w:pPr>
        <w:ind w:left="504"/>
      </w:pPr>
      <w:r>
        <w:rPr>
          <w:b w:val="0"/>
          <w:i/>
        </w:rPr>
        <w:t>Снижение содержания эластазы в кале свидетельствует о первичной экзокринной недостаточности ПЖ (0–100 мкг/г — тяжелая; 101–200 — средняя или легкая), что является показанием для пожизненной, чаще всего для так называемой высокодозной заместительной ферментной терапии.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Лечение внешнесекреторной недостаточности поджелудочной железы включает, прежде всего,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спазмолитиков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обезболивающих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антибиотиков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ферментных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ферментных препаратов</w:t>
      </w:r>
    </w:p>
    <w:p>
      <w:pPr>
        <w:ind w:left="504"/>
      </w:pPr>
      <w:r>
        <w:rPr>
          <w:b w:val="0"/>
          <w:i/>
        </w:rPr>
        <w:t>При наличии клинически выраженной стеатореи (неоформленный, зловонный с жирным блеском стул), признаков нутритивной недостаточности (потеря массы тела) показано назначение ферментных препаратов.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Минимальная доза заместительной полиферментной начальной терапии должна назначаться из расчета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10-20 тыс. ед. панкреатина только в основные приемы пищи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10-20 тыс. ед. панкреатина в основной прием пищи + 10 тыс. ед. в промежуточный прием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40-60 тыс. ед. панкреатина в основной прием пищи + 20-25 тыс. ед. в промежуточный прием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40-50 тыс. ед. панкреатина в основной прием пищи + 20-25 тыс. ед. в промежуточный прием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40-50 тыс. ед. панкреатина в основной прием пищи + 20-25 тыс. ед. в промежуточный прием</w:t>
      </w:r>
    </w:p>
    <w:p>
      <w:pPr>
        <w:ind w:left="504"/>
      </w:pPr>
      <w:r>
        <w:rPr>
          <w:b w:val="0"/>
          <w:i/>
        </w:rPr>
        <w:t>У пациентов с клиническими симптомами экзокринной недостаточности ПЖ  рекомендуемая минимальная доза капсулированного панкреатина для начального лечения составляет 40-50 тыс. ед. на основной прием (3 раза в день) и половинная доза (20-25 тыс. ед.) на промежуточные приемы пищи (общая кратность не менее 5 раз в сутки).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развитии панкреатогенного сахарного диабета (тип IIIc) лечение, в большинстве случаев, должно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производными сульфонилмочевины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тиазолидиндионами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инсулином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ингибиторами альфа-глюкозидазы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инсулином</w:t>
      </w:r>
    </w:p>
    <w:p>
      <w:pPr>
        <w:ind w:left="504"/>
      </w:pPr>
      <w:r>
        <w:rPr>
          <w:b w:val="0"/>
          <w:i/>
        </w:rPr>
        <w:t>Развитие сахарного диабета при хроническом панкреатите происходит в результате выраженного фиброза паренхимы поджелудочной железы, поэтому пероральные гипогликемические средства в терапии не играют существенной роли. Большинству пациентов с панкреатогенным сахарным диабетом требуется назначение инсулина.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Предпочтительным анальгетиком первого уровня для купирования болевого синдрома при хроническом панкреатите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морфин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парацетамол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стероидные противовоспалительные препараты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промедол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парацетамол</w:t>
      </w:r>
    </w:p>
    <w:p>
      <w:pPr>
        <w:ind w:left="504"/>
      </w:pPr>
      <w:r>
        <w:rPr>
          <w:b w:val="0"/>
          <w:i/>
        </w:rPr>
        <w:t>Предпочтительным анальгетиком 1-го уровня является парацетамол в силу его ограниченных побочных эффектов, тогда как нестероидных противовоспалительных препаратов рекомендуется избегать из-за их способности повреждать слизистую оболочку пищеварительного тракта.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У данной больной, с большой долей вероятности, можно ожидать развитие осложнения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реактивного артрита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спленомегалии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остеопороза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мышечной дистрофии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остеопороза</w:t>
      </w:r>
    </w:p>
    <w:p>
      <w:pPr>
        <w:ind w:left="504"/>
      </w:pPr>
      <w:r>
        <w:rPr>
          <w:b w:val="0"/>
          <w:i/>
        </w:rPr>
        <w:t>Пациенты с ХП подвержены высокому риску развития остеопороза и остеопении и высокому риску возникновения спонтанного перелома.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273_24/" TargetMode="External"/><Relationship Id="rId10" Type="http://schemas.openxmlformats.org/officeDocument/2006/relationships/hyperlink" Target="https://library.mededtech.ru/rest/documents/KP273_24/#paragraph_nlset1" TargetMode="External"/><Relationship Id="rId11" Type="http://schemas.openxmlformats.org/officeDocument/2006/relationships/hyperlink" Target="https://library.mededtech.ru/rest/documents/KP273_24/#paragraph_m4hsm3" TargetMode="External"/><Relationship Id="rId12" Type="http://schemas.openxmlformats.org/officeDocument/2006/relationships/hyperlink" Target="https://library.mededtech.ru/rest/documents/KP273_24/#paragraph_15l7vv" TargetMode="External"/><Relationship Id="rId13" Type="http://schemas.openxmlformats.org/officeDocument/2006/relationships/hyperlink" Target="https://library.mededtech.ru/rest/documents/KP273_24/#paragraph_2job33" TargetMode="External"/><Relationship Id="rId14" Type="http://schemas.openxmlformats.org/officeDocument/2006/relationships/hyperlink" Target="https://library.mededtech.ru/rest/documents/KP273_24/#paragraph_rj05mq" TargetMode="External"/><Relationship Id="rId15" Type="http://schemas.openxmlformats.org/officeDocument/2006/relationships/hyperlink" Target="https://library.mededtech.ru/rest/documents/KP273_24/#list_item_3s3r85" TargetMode="External"/><Relationship Id="rId16" Type="http://schemas.openxmlformats.org/officeDocument/2006/relationships/hyperlink" Target="https://library.mededtech.ru/rest/documents/KP273_24/#list_item_55ns84" TargetMode="External"/><Relationship Id="rId17" Type="http://schemas.openxmlformats.org/officeDocument/2006/relationships/hyperlink" Target="https://library.mededtech.ru/rest/documents/KP273_24/#list_item_ioebkq" TargetMode="External"/><Relationship Id="rId18" Type="http://schemas.openxmlformats.org/officeDocument/2006/relationships/hyperlink" Target="https://library.mededtech.ru/rest/documents/KP273_24/#paragraph_r7hnm2" TargetMode="External"/><Relationship Id="rId19" Type="http://schemas.openxmlformats.org/officeDocument/2006/relationships/hyperlink" Target="https://library.mededtech.ru/rest/documents/KP273_24/#list_item_nf0kp2" TargetMode="External"/><Relationship Id="rId20" Type="http://schemas.openxmlformats.org/officeDocument/2006/relationships/hyperlink" Target="https://library.mededtech.ru/rest/documents/KP273_24/#list_item_8hnptr" TargetMode="External"/><Relationship Id="rId21" Type="http://schemas.openxmlformats.org/officeDocument/2006/relationships/hyperlink" Target="https://library.mededtech.ru/rest/documents/KP273_24/#paragraph_e28ilr" TargetMode="External"/><Relationship Id="rId22" Type="http://schemas.openxmlformats.org/officeDocument/2006/relationships/hyperlink" Target="https://library.mededtech.ru/rest/documents/KP273_24/#list_item_57crsu" TargetMode="External"/><Relationship Id="rId23" Type="http://schemas.openxmlformats.org/officeDocument/2006/relationships/hyperlink" Target="https://library.mededtech.ru/rest/documents/KP273_24/#paragraph_k817t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